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0A7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 xml:space="preserve">D1 -  </w:t>
      </w:r>
      <w:r w:rsidRPr="006E7E37">
        <w:rPr>
          <w:highlight w:val="lightGray"/>
          <w:shd w:val="clear" w:color="auto" w:fill="C0C0C0"/>
          <w:lang w:eastAsia="sl-SI"/>
        </w:rPr>
        <w:t>PEVSKI ZBORI IN VOKALNE SKUPINE</w:t>
      </w:r>
    </w:p>
    <w:p w14:paraId="0040F23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6987C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zbora/skupine, vodstvo</w:t>
      </w:r>
    </w:p>
    <w:p w14:paraId="32F96C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C4DF3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zbora/skupine: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B423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D46C2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pevcev: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471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1A0A8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zborovodje:</w:t>
      </w:r>
    </w:p>
    <w:p w14:paraId="121235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F8C2D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      </w:t>
      </w:r>
      <w:r w:rsidRPr="006E7E37">
        <w:rPr>
          <w:rFonts w:eastAsia="Calibri" w:cs="Tahoma"/>
          <w:sz w:val="20"/>
          <w:szCs w:val="20"/>
          <w:lang w:eastAsia="en-US"/>
        </w:rPr>
        <w:t xml:space="preserve"> Poštni naslov, telefon, E-naslov: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C493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62BE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Korepetitorji: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0E3F70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BC92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074478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8DAFD21" w14:textId="588CEA6E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342DBEB8" w14:textId="77777777" w:rsidR="003A73C7" w:rsidRPr="006E7E37" w:rsidRDefault="003A73C7" w:rsidP="003A73C7">
      <w:pP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59FA69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B2A4E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3E6CBE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število novih skladb, opredelitev premiernega koncerta, ponovitve, gostovanja, …).</w:t>
      </w:r>
    </w:p>
    <w:p w14:paraId="6CD5487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D4A8C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0D05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98586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3AE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D78F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A34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A7E5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2344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0A27E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AA59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7021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277E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1E68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A32A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AF3A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5489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262B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5C8D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9B01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B91F8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E416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4217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88BB7F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DDA0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B42CB3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7BA49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99539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CC3246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koncertov, nastopov, festivalov, tekmovanj:</w:t>
      </w:r>
    </w:p>
    <w:p w14:paraId="65581B1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1450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66E423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EEFFA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7732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celovečerni koncerti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D52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606032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FB397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7C450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3E7E3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57C2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818E13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D84165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5A56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7BD39B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5B104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8C00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EEED7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BC473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4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EE78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49535E8" w14:textId="6F2CD39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1B420B8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4FC20D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282E86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1997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7D3D1D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34254439" w14:textId="75ABDB9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6E7E37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4B71D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019B5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B18D0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7C54B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02CB683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50690D1F" w14:textId="4DFF49A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692938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6E45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A6228D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C4D20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BA83A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155881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7F7070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792CE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13E7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ADF4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28BA28C9" w14:textId="2A1D3660" w:rsidR="003A73C7" w:rsidRPr="006E7E37" w:rsidRDefault="003A73C7" w:rsidP="00205751">
      <w:pPr>
        <w:pStyle w:val="Naslov2"/>
      </w:pPr>
    </w:p>
    <w:sectPr w:rsidR="003A73C7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6289" w14:textId="77777777" w:rsidR="002F45A3" w:rsidRDefault="002F45A3">
      <w:pPr>
        <w:spacing w:after="0" w:line="240" w:lineRule="auto"/>
      </w:pPr>
      <w:r>
        <w:separator/>
      </w:r>
    </w:p>
  </w:endnote>
  <w:endnote w:type="continuationSeparator" w:id="0">
    <w:p w14:paraId="6319CF50" w14:textId="77777777" w:rsidR="002F45A3" w:rsidRDefault="002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D00" w14:textId="77777777" w:rsidR="002F45A3" w:rsidRDefault="002F45A3">
      <w:pPr>
        <w:spacing w:after="0" w:line="240" w:lineRule="auto"/>
      </w:pPr>
      <w:r>
        <w:separator/>
      </w:r>
    </w:p>
  </w:footnote>
  <w:footnote w:type="continuationSeparator" w:id="0">
    <w:p w14:paraId="34E7CC21" w14:textId="77777777" w:rsidR="002F45A3" w:rsidRDefault="002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05751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2F45A3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0160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3</cp:revision>
  <cp:lastPrinted>2020-12-22T06:46:00Z</cp:lastPrinted>
  <dcterms:created xsi:type="dcterms:W3CDTF">2022-01-20T15:21:00Z</dcterms:created>
  <dcterms:modified xsi:type="dcterms:W3CDTF">2022-01-20T15:22:00Z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